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ABF2" w14:textId="7F076A1F" w:rsidR="0058163A" w:rsidRPr="003061BD" w:rsidRDefault="003061BD" w:rsidP="008F38BB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6CE6E1CD" w:rsidR="0058163A" w:rsidRPr="003061BD" w:rsidRDefault="00195D84" w:rsidP="008F38BB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680CAF">
        <w:rPr>
          <w:b/>
          <w:color w:val="000000" w:themeColor="text1"/>
          <w:sz w:val="36"/>
          <w:szCs w:val="36"/>
        </w:rPr>
        <w:t>185</w:t>
      </w:r>
      <w:r w:rsidR="00BB52D2">
        <w:rPr>
          <w:b/>
          <w:color w:val="000000" w:themeColor="text1"/>
          <w:sz w:val="36"/>
          <w:szCs w:val="36"/>
        </w:rPr>
        <w:t xml:space="preserve">) </w:t>
      </w:r>
      <w:r w:rsidR="00B957DC">
        <w:rPr>
          <w:b/>
          <w:color w:val="000000" w:themeColor="text1"/>
          <w:sz w:val="36"/>
          <w:szCs w:val="36"/>
        </w:rPr>
        <w:t xml:space="preserve">Bidding vs. Weak 1NT Opening </w:t>
      </w:r>
      <w:r w:rsidR="00680CAF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8F38BB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0E077512" w:rsidR="0058163A" w:rsidRPr="003061BD" w:rsidRDefault="00B957DC" w:rsidP="008F38BB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4, 6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8F38BB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8F38BB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8F38BB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4F22E2F8" w14:textId="0E3B87C6" w:rsidR="00B957DC" w:rsidRDefault="008F38BB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When the opponent</w:t>
      </w:r>
      <w:r w:rsidR="00D80483">
        <w:rPr>
          <w:color w:val="000000" w:themeColor="text1"/>
        </w:rPr>
        <w:t xml:space="preserve">s open the bidding with a strong NT, showing 15-17 points, we usually </w:t>
      </w:r>
      <w:r w:rsidR="00C40071">
        <w:rPr>
          <w:color w:val="000000" w:themeColor="text1"/>
        </w:rPr>
        <w:t>try enter the auction</w:t>
      </w:r>
      <w:r w:rsidR="00D80483">
        <w:rPr>
          <w:color w:val="000000" w:themeColor="text1"/>
        </w:rPr>
        <w:t xml:space="preserve"> over this</w:t>
      </w:r>
      <w:r w:rsidR="00C40071">
        <w:rPr>
          <w:color w:val="000000" w:themeColor="text1"/>
        </w:rPr>
        <w:t xml:space="preserve"> 1NT bid</w:t>
      </w:r>
      <w:r w:rsidR="00D80483">
        <w:rPr>
          <w:color w:val="000000" w:themeColor="text1"/>
        </w:rPr>
        <w:t xml:space="preserve"> </w:t>
      </w:r>
      <w:r w:rsidR="00C40071">
        <w:rPr>
          <w:color w:val="000000" w:themeColor="text1"/>
        </w:rPr>
        <w:t xml:space="preserve">either </w:t>
      </w:r>
      <w:r w:rsidR="00D80483">
        <w:rPr>
          <w:color w:val="000000" w:themeColor="text1"/>
        </w:rPr>
        <w:t xml:space="preserve">to be competitive </w:t>
      </w:r>
      <w:r w:rsidR="00C40071">
        <w:rPr>
          <w:color w:val="000000" w:themeColor="text1"/>
        </w:rPr>
        <w:t>or destructive – bidding with shapely hands (most common) or bidding with hands that have good values (less common).  But if</w:t>
      </w:r>
      <w:r>
        <w:rPr>
          <w:color w:val="000000" w:themeColor="text1"/>
        </w:rPr>
        <w:t xml:space="preserve"> the opponent</w:t>
      </w:r>
      <w:r w:rsidR="00AC0DC2">
        <w:rPr>
          <w:color w:val="000000" w:themeColor="text1"/>
        </w:rPr>
        <w:t>s are playing a “W</w:t>
      </w:r>
      <w:r w:rsidR="00C40071">
        <w:rPr>
          <w:color w:val="000000" w:themeColor="text1"/>
        </w:rPr>
        <w:t>eak 1NT” opening bid</w:t>
      </w:r>
      <w:r w:rsidR="00F0761F">
        <w:rPr>
          <w:color w:val="000000" w:themeColor="text1"/>
        </w:rPr>
        <w:t xml:space="preserve"> (for example, 12-14</w:t>
      </w:r>
      <w:r>
        <w:rPr>
          <w:color w:val="000000" w:themeColor="text1"/>
        </w:rPr>
        <w:t xml:space="preserve"> points) then, somewhat counter</w:t>
      </w:r>
      <w:r w:rsidR="00F0761F">
        <w:rPr>
          <w:color w:val="000000" w:themeColor="text1"/>
        </w:rPr>
        <w:t>intuitively, we need to bid only when we have a decent valued hand.  In this case, we tend to bid with hands that would normally have overcalled at the 2-level – hands with about opening values.  Th</w:t>
      </w:r>
      <w:r>
        <w:rPr>
          <w:color w:val="000000" w:themeColor="text1"/>
        </w:rPr>
        <w:t>is is because when the opponent</w:t>
      </w:r>
      <w:r w:rsidR="00F0761F">
        <w:rPr>
          <w:color w:val="000000" w:themeColor="text1"/>
        </w:rPr>
        <w:t>s open a “</w:t>
      </w:r>
      <w:r w:rsidR="00AC0DC2">
        <w:rPr>
          <w:color w:val="000000" w:themeColor="text1"/>
        </w:rPr>
        <w:t>W</w:t>
      </w:r>
      <w:r w:rsidR="00F0761F">
        <w:rPr>
          <w:color w:val="000000" w:themeColor="text1"/>
        </w:rPr>
        <w:t xml:space="preserve">eak 1NT” it is still possible for our side to have a game.  If we bid destructively (with only shape and without much strength) then if partner has values they may push </w:t>
      </w:r>
      <w:r w:rsidR="00AC0DC2">
        <w:rPr>
          <w:color w:val="000000" w:themeColor="text1"/>
        </w:rPr>
        <w:t>the auction too high.  It is common to use a special bidd</w:t>
      </w:r>
      <w:r>
        <w:rPr>
          <w:color w:val="000000" w:themeColor="text1"/>
        </w:rPr>
        <w:t>ing system against the opponent</w:t>
      </w:r>
      <w:r w:rsidR="00AC0DC2">
        <w:rPr>
          <w:color w:val="000000" w:themeColor="text1"/>
        </w:rPr>
        <w:t>s</w:t>
      </w:r>
      <w:r>
        <w:rPr>
          <w:color w:val="000000" w:themeColor="text1"/>
        </w:rPr>
        <w:t>’ Weak 1NT opening bids that is different from the one</w:t>
      </w:r>
      <w:r w:rsidR="00AC0DC2">
        <w:rPr>
          <w:color w:val="000000" w:themeColor="text1"/>
        </w:rPr>
        <w:t xml:space="preserve"> you use against a strong 1NT opening. </w:t>
      </w:r>
    </w:p>
    <w:p w14:paraId="65127E04" w14:textId="77777777" w:rsidR="00AC0DC2" w:rsidRDefault="00AC0DC2" w:rsidP="008F38BB">
      <w:pPr>
        <w:spacing w:after="0"/>
        <w:rPr>
          <w:color w:val="000000" w:themeColor="text1"/>
        </w:rPr>
      </w:pPr>
    </w:p>
    <w:p w14:paraId="40A60486" w14:textId="77777777" w:rsidR="000E3CC0" w:rsidRDefault="000E3CC0" w:rsidP="008F38BB">
      <w:pPr>
        <w:spacing w:after="0"/>
        <w:rPr>
          <w:color w:val="000000" w:themeColor="text1"/>
        </w:rPr>
      </w:pPr>
    </w:p>
    <w:p w14:paraId="77380EA2" w14:textId="3C9652B7" w:rsidR="00AC0DC2" w:rsidRPr="000E3CC0" w:rsidRDefault="00AC0DC2" w:rsidP="008F38BB">
      <w:pPr>
        <w:spacing w:after="0"/>
        <w:rPr>
          <w:b/>
          <w:color w:val="000000" w:themeColor="text1"/>
          <w:sz w:val="24"/>
          <w:szCs w:val="24"/>
        </w:rPr>
      </w:pPr>
      <w:r w:rsidRPr="000E3CC0">
        <w:rPr>
          <w:b/>
          <w:color w:val="000000" w:themeColor="text1"/>
          <w:sz w:val="24"/>
          <w:szCs w:val="24"/>
        </w:rPr>
        <w:t>Defining Weak NT</w:t>
      </w:r>
    </w:p>
    <w:p w14:paraId="29808347" w14:textId="6DEC8686" w:rsidR="00680CAF" w:rsidRPr="007C7FDE" w:rsidRDefault="00A10143" w:rsidP="008F38BB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4</w:t>
      </w:r>
    </w:p>
    <w:p w14:paraId="5527EEC8" w14:textId="0B4DA7BD" w:rsidR="00B957DC" w:rsidRDefault="00E345C6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Before we go into a system for </w:t>
      </w:r>
      <w:r w:rsidR="008F38BB">
        <w:rPr>
          <w:color w:val="000000" w:themeColor="text1"/>
        </w:rPr>
        <w:t xml:space="preserve">competing over a weak 1NT </w:t>
      </w:r>
      <w:r>
        <w:rPr>
          <w:color w:val="000000" w:themeColor="text1"/>
        </w:rPr>
        <w:t>opening bid</w:t>
      </w:r>
      <w:r w:rsidR="008F38BB">
        <w:rPr>
          <w:color w:val="000000" w:themeColor="text1"/>
        </w:rPr>
        <w:t>,</w:t>
      </w:r>
      <w:r>
        <w:rPr>
          <w:color w:val="000000" w:themeColor="text1"/>
        </w:rPr>
        <w:t xml:space="preserve"> we need to know which NT ranges are considered weak and which ar</w:t>
      </w:r>
      <w:r w:rsidR="008F38BB">
        <w:rPr>
          <w:color w:val="000000" w:themeColor="text1"/>
        </w:rPr>
        <w:t>e considered strong.  A common and effective</w:t>
      </w:r>
      <w:r>
        <w:rPr>
          <w:color w:val="000000" w:themeColor="text1"/>
        </w:rPr>
        <w:t xml:space="preserve"> solution to this is to play a 1NT bid as strong if it contains 16 points in the range and to play it as weak if it is not that strong.</w:t>
      </w:r>
    </w:p>
    <w:p w14:paraId="75FAAD04" w14:textId="77777777" w:rsidR="00E345C6" w:rsidRDefault="00E345C6" w:rsidP="008F38BB">
      <w:pPr>
        <w:spacing w:after="0"/>
        <w:rPr>
          <w:color w:val="000000" w:themeColor="text1"/>
        </w:rPr>
      </w:pPr>
    </w:p>
    <w:p w14:paraId="2CCC6E76" w14:textId="6CE1C906" w:rsidR="00E345C6" w:rsidRPr="00E345C6" w:rsidRDefault="00E345C6" w:rsidP="008F38BB">
      <w:pPr>
        <w:spacing w:after="0"/>
        <w:rPr>
          <w:i/>
          <w:color w:val="000000" w:themeColor="text1"/>
        </w:rPr>
      </w:pPr>
      <w:r w:rsidRPr="00E345C6">
        <w:rPr>
          <w:i/>
          <w:color w:val="000000" w:themeColor="text1"/>
        </w:rPr>
        <w:t xml:space="preserve">Examples of </w:t>
      </w:r>
      <w:r>
        <w:rPr>
          <w:i/>
          <w:color w:val="000000" w:themeColor="text1"/>
        </w:rPr>
        <w:t>1NT</w:t>
      </w:r>
      <w:r w:rsidRPr="00E345C6">
        <w:rPr>
          <w:i/>
          <w:color w:val="000000" w:themeColor="text1"/>
        </w:rPr>
        <w:t xml:space="preserve"> Ranges</w:t>
      </w:r>
      <w:r>
        <w:rPr>
          <w:i/>
          <w:color w:val="000000" w:themeColor="text1"/>
        </w:rPr>
        <w:t xml:space="preserve"> and Classifications</w:t>
      </w:r>
    </w:p>
    <w:p w14:paraId="086A1D1D" w14:textId="05CB976C" w:rsidR="00B957DC" w:rsidRDefault="00E345C6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15-17 points</w:t>
      </w:r>
      <w:r>
        <w:rPr>
          <w:color w:val="000000" w:themeColor="text1"/>
        </w:rPr>
        <w:tab/>
        <w:t>Strong</w:t>
      </w:r>
    </w:p>
    <w:p w14:paraId="26F450C7" w14:textId="4147AF25" w:rsidR="00E345C6" w:rsidRDefault="00E345C6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14-17 points</w:t>
      </w:r>
      <w:r>
        <w:rPr>
          <w:color w:val="000000" w:themeColor="text1"/>
        </w:rPr>
        <w:tab/>
        <w:t xml:space="preserve">Strong </w:t>
      </w:r>
    </w:p>
    <w:p w14:paraId="6E7CB564" w14:textId="7616F4FB" w:rsidR="00E345C6" w:rsidRDefault="00E345C6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14-16 points </w:t>
      </w:r>
      <w:r>
        <w:rPr>
          <w:color w:val="000000" w:themeColor="text1"/>
        </w:rPr>
        <w:tab/>
        <w:t xml:space="preserve">Strong </w:t>
      </w:r>
    </w:p>
    <w:p w14:paraId="69EB8CEB" w14:textId="20E46F39" w:rsidR="00B957DC" w:rsidRDefault="00E345C6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13-16 points</w:t>
      </w:r>
      <w:r>
        <w:rPr>
          <w:color w:val="000000" w:themeColor="text1"/>
        </w:rPr>
        <w:tab/>
        <w:t>Strong</w:t>
      </w:r>
    </w:p>
    <w:p w14:paraId="2CE9D02F" w14:textId="79103F0E" w:rsidR="00E345C6" w:rsidRDefault="009B1387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13-15 points </w:t>
      </w:r>
      <w:r>
        <w:rPr>
          <w:color w:val="000000" w:themeColor="text1"/>
        </w:rPr>
        <w:tab/>
        <w:t xml:space="preserve">Weak </w:t>
      </w:r>
      <w:r w:rsidR="00E345C6">
        <w:rPr>
          <w:color w:val="000000" w:themeColor="text1"/>
        </w:rPr>
        <w:t xml:space="preserve"> </w:t>
      </w:r>
    </w:p>
    <w:p w14:paraId="768B9081" w14:textId="438E7BC3" w:rsidR="00E345C6" w:rsidRDefault="00BD56CF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12-14 points </w:t>
      </w:r>
      <w:r>
        <w:rPr>
          <w:color w:val="000000" w:themeColor="text1"/>
        </w:rPr>
        <w:tab/>
        <w:t>Weak</w:t>
      </w:r>
      <w:r w:rsidR="00E345C6">
        <w:rPr>
          <w:color w:val="000000" w:themeColor="text1"/>
        </w:rPr>
        <w:t xml:space="preserve"> </w:t>
      </w:r>
    </w:p>
    <w:p w14:paraId="503084D6" w14:textId="0BC4B72A" w:rsidR="00E345C6" w:rsidRDefault="00BD56CF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11-14 points </w:t>
      </w:r>
      <w:r>
        <w:rPr>
          <w:color w:val="000000" w:themeColor="text1"/>
        </w:rPr>
        <w:tab/>
        <w:t xml:space="preserve">Weak </w:t>
      </w:r>
    </w:p>
    <w:p w14:paraId="22C5009A" w14:textId="77777777" w:rsidR="00AB4B64" w:rsidRPr="003061BD" w:rsidRDefault="00AB4B64" w:rsidP="008F38BB">
      <w:pPr>
        <w:spacing w:after="0"/>
        <w:rPr>
          <w:color w:val="000000" w:themeColor="text1"/>
        </w:rPr>
      </w:pPr>
    </w:p>
    <w:p w14:paraId="5F327316" w14:textId="77777777" w:rsidR="00680CAF" w:rsidRDefault="00680CAF" w:rsidP="008F38BB">
      <w:pPr>
        <w:spacing w:after="0"/>
        <w:rPr>
          <w:i/>
          <w:color w:val="000000" w:themeColor="text1"/>
        </w:rPr>
      </w:pPr>
    </w:p>
    <w:p w14:paraId="0C89F3BB" w14:textId="77777777" w:rsidR="00B957DC" w:rsidRDefault="00B957DC" w:rsidP="008F38BB">
      <w:pPr>
        <w:spacing w:after="0"/>
        <w:rPr>
          <w:i/>
          <w:color w:val="000000" w:themeColor="text1"/>
        </w:rPr>
      </w:pPr>
    </w:p>
    <w:p w14:paraId="4466C3FC" w14:textId="60002052" w:rsidR="003C29CE" w:rsidRPr="003C29CE" w:rsidRDefault="00A10143" w:rsidP="008F38B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Modified Cappelletti vs. Weak Notrump </w:t>
      </w:r>
    </w:p>
    <w:p w14:paraId="10AEFD6A" w14:textId="42A979A5" w:rsidR="003C29CE" w:rsidRPr="00A10143" w:rsidRDefault="00A10143" w:rsidP="008F38BB">
      <w:pPr>
        <w:spacing w:after="0"/>
        <w:rPr>
          <w:i/>
          <w:color w:val="000000" w:themeColor="text1"/>
        </w:rPr>
      </w:pPr>
      <w:r w:rsidRPr="00A10143">
        <w:rPr>
          <w:i/>
          <w:color w:val="000000" w:themeColor="text1"/>
        </w:rPr>
        <w:t>Level: 4</w:t>
      </w:r>
    </w:p>
    <w:p w14:paraId="4EB4F4DC" w14:textId="269E86AB" w:rsidR="00B957DC" w:rsidRDefault="00646EC3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Now that we know what a Weak 1NT bid is let’s discuss a system for bidding over it.  Unlike vs. Strong 1NT bids, in this situation we need a bid t</w:t>
      </w:r>
      <w:r w:rsidR="00D15DEE">
        <w:rPr>
          <w:color w:val="000000" w:themeColor="text1"/>
        </w:rPr>
        <w:t>o show a strong balanced hand (r</w:t>
      </w:r>
      <w:r>
        <w:rPr>
          <w:color w:val="000000" w:themeColor="text1"/>
        </w:rPr>
        <w:t xml:space="preserve">emember that vs. Strong 1NT </w:t>
      </w:r>
      <w:r w:rsidR="00D15DEE">
        <w:rPr>
          <w:color w:val="000000" w:themeColor="text1"/>
        </w:rPr>
        <w:t xml:space="preserve">opening bids that </w:t>
      </w:r>
      <w:r>
        <w:rPr>
          <w:color w:val="000000" w:themeColor="text1"/>
        </w:rPr>
        <w:t xml:space="preserve">with that hand we simply pass and defend </w:t>
      </w:r>
      <w:r w:rsidR="00D15DEE">
        <w:rPr>
          <w:color w:val="000000" w:themeColor="text1"/>
        </w:rPr>
        <w:t xml:space="preserve">– expecting this to be our best result).   We use </w:t>
      </w:r>
      <w:r w:rsidR="008F38BB">
        <w:rPr>
          <w:i/>
          <w:color w:val="000000" w:themeColor="text1"/>
        </w:rPr>
        <w:t>d</w:t>
      </w:r>
      <w:r w:rsidR="00D15DEE" w:rsidRPr="004A5F4C">
        <w:rPr>
          <w:i/>
          <w:color w:val="000000" w:themeColor="text1"/>
        </w:rPr>
        <w:t>ouble</w:t>
      </w:r>
      <w:r w:rsidR="00D15DEE">
        <w:rPr>
          <w:color w:val="000000" w:themeColor="text1"/>
        </w:rPr>
        <w:t xml:space="preserve"> of their Weak 1NT opening to show this balanced hand that is at the top or stronger than the opponent’s 1NT bid.</w:t>
      </w:r>
    </w:p>
    <w:p w14:paraId="63D8401C" w14:textId="77777777" w:rsidR="00D15DEE" w:rsidRDefault="00D15DEE" w:rsidP="008F38BB">
      <w:pPr>
        <w:spacing w:after="0"/>
        <w:rPr>
          <w:color w:val="000000" w:themeColor="text1"/>
        </w:rPr>
      </w:pPr>
    </w:p>
    <w:p w14:paraId="45FF4A85" w14:textId="75F5B246" w:rsidR="00D15DEE" w:rsidRPr="00D15DEE" w:rsidRDefault="00D15DEE" w:rsidP="008F38BB">
      <w:pPr>
        <w:spacing w:after="0"/>
        <w:rPr>
          <w:i/>
          <w:color w:val="000000" w:themeColor="text1"/>
        </w:rPr>
      </w:pPr>
      <w:r w:rsidRPr="00D15DEE">
        <w:rPr>
          <w:i/>
          <w:color w:val="000000" w:themeColor="text1"/>
        </w:rPr>
        <w:t>Example</w:t>
      </w:r>
    </w:p>
    <w:p w14:paraId="6DDA9792" w14:textId="3C582B9C" w:rsidR="00D15DEE" w:rsidRDefault="008F38BB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If the opponent</w:t>
      </w:r>
      <w:r w:rsidR="00D15DEE">
        <w:rPr>
          <w:color w:val="000000" w:themeColor="text1"/>
        </w:rPr>
        <w:t>s play a Weak 1NT showing 12-14 points, then</w:t>
      </w:r>
    </w:p>
    <w:p w14:paraId="46C1F568" w14:textId="0C8CF07B" w:rsidR="00D15DEE" w:rsidRDefault="00D15DEE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X</w:t>
      </w:r>
      <w:r>
        <w:rPr>
          <w:color w:val="000000" w:themeColor="text1"/>
        </w:rPr>
        <w:tab/>
        <w:t xml:space="preserve">This </w:t>
      </w:r>
      <w:r w:rsidR="008F38BB">
        <w:rPr>
          <w:color w:val="000000" w:themeColor="text1"/>
        </w:rPr>
        <w:t>d</w:t>
      </w:r>
      <w:r>
        <w:rPr>
          <w:color w:val="000000" w:themeColor="text1"/>
        </w:rPr>
        <w:t>ouble shows a balanced hand with at least 14 points.</w:t>
      </w:r>
    </w:p>
    <w:p w14:paraId="010844D6" w14:textId="77777777" w:rsidR="00B957DC" w:rsidRDefault="00B957DC" w:rsidP="008F38BB">
      <w:pPr>
        <w:spacing w:after="0"/>
        <w:rPr>
          <w:color w:val="000000" w:themeColor="text1"/>
        </w:rPr>
      </w:pPr>
    </w:p>
    <w:p w14:paraId="35457DB7" w14:textId="02D7B2D9" w:rsidR="00B957DC" w:rsidRDefault="00D25F6C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This </w:t>
      </w:r>
      <w:r w:rsidR="008F38BB">
        <w:rPr>
          <w:color w:val="000000" w:themeColor="text1"/>
        </w:rPr>
        <w:t>d</w:t>
      </w:r>
      <w:r>
        <w:rPr>
          <w:color w:val="000000" w:themeColor="text1"/>
        </w:rPr>
        <w:t>ouble is not unilaterally</w:t>
      </w:r>
      <w:r w:rsidR="008F38BB">
        <w:rPr>
          <w:color w:val="000000" w:themeColor="text1"/>
        </w:rPr>
        <w:t xml:space="preserve"> for</w:t>
      </w:r>
      <w:r>
        <w:rPr>
          <w:color w:val="000000" w:themeColor="text1"/>
        </w:rPr>
        <w:t xml:space="preserve"> penalty.  It asks for input from partner.  Advancer can leave this </w:t>
      </w:r>
      <w:r w:rsidR="008F38BB">
        <w:rPr>
          <w:color w:val="000000" w:themeColor="text1"/>
        </w:rPr>
        <w:t>d</w:t>
      </w:r>
      <w:r>
        <w:rPr>
          <w:color w:val="000000" w:themeColor="text1"/>
        </w:rPr>
        <w:t>ouble in for penalty if they have about 6+ point</w:t>
      </w:r>
      <w:r w:rsidR="008F38BB">
        <w:rPr>
          <w:color w:val="000000" w:themeColor="text1"/>
        </w:rPr>
        <w:t>s</w:t>
      </w:r>
      <w:r>
        <w:rPr>
          <w:color w:val="000000" w:themeColor="text1"/>
        </w:rPr>
        <w:t xml:space="preserve"> and no long suit.  (When Advancer has 6+ points then they know we have at least half the points, giving us a good chance of beating the 1NT contract). </w:t>
      </w:r>
    </w:p>
    <w:p w14:paraId="07EFF30B" w14:textId="77777777" w:rsidR="00725470" w:rsidRDefault="00725470" w:rsidP="008F38BB">
      <w:pPr>
        <w:spacing w:after="0"/>
        <w:rPr>
          <w:color w:val="000000" w:themeColor="text1"/>
        </w:rPr>
      </w:pPr>
    </w:p>
    <w:p w14:paraId="1B4BB228" w14:textId="2795CDEA" w:rsidR="00725470" w:rsidRDefault="008935BB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Note:  In this situation, when partner has made a penalty double, s</w:t>
      </w:r>
      <w:r w:rsidR="00725470">
        <w:rPr>
          <w:color w:val="000000" w:themeColor="text1"/>
        </w:rPr>
        <w:t xml:space="preserve">ome partnerships play </w:t>
      </w:r>
      <w:r w:rsidR="008F38BB">
        <w:rPr>
          <w:color w:val="000000" w:themeColor="text1"/>
        </w:rPr>
        <w:t>“</w:t>
      </w:r>
      <w:r w:rsidR="00725470">
        <w:rPr>
          <w:color w:val="000000" w:themeColor="text1"/>
        </w:rPr>
        <w:t xml:space="preserve">systems </w:t>
      </w:r>
      <w:r>
        <w:rPr>
          <w:color w:val="000000" w:themeColor="text1"/>
        </w:rPr>
        <w:t>on</w:t>
      </w:r>
      <w:r w:rsidR="008F38BB">
        <w:rPr>
          <w:color w:val="000000" w:themeColor="text1"/>
        </w:rPr>
        <w:t>”</w:t>
      </w:r>
      <w:r>
        <w:rPr>
          <w:color w:val="000000" w:themeColor="text1"/>
        </w:rPr>
        <w:t xml:space="preserve"> (SO), bidding as if their partner had opened the bidding 1NT.  But this is not the best approach and not </w:t>
      </w:r>
      <w:r w:rsidR="00EA6DE6">
        <w:rPr>
          <w:color w:val="000000" w:themeColor="text1"/>
        </w:rPr>
        <w:t>recommen</w:t>
      </w:r>
      <w:r w:rsidR="008F38BB">
        <w:rPr>
          <w:color w:val="000000" w:themeColor="text1"/>
        </w:rPr>
        <w:t>ded.  Advancer needs to be able</w:t>
      </w:r>
      <w:r w:rsidR="00EA6DE6">
        <w:rPr>
          <w:color w:val="000000" w:themeColor="text1"/>
        </w:rPr>
        <w:t xml:space="preserve"> to run to a natural 2</w:t>
      </w:r>
      <w:r w:rsidR="008F38BB">
        <w:rPr>
          <w:rFonts w:ascii="Times New Roman" w:hAnsi="Times New Roman" w:cs="Times New Roman"/>
          <w:color w:val="000000" w:themeColor="text1"/>
        </w:rPr>
        <w:t>♣</w:t>
      </w:r>
      <w:r w:rsidR="00EA6DE6">
        <w:rPr>
          <w:color w:val="000000" w:themeColor="text1"/>
        </w:rPr>
        <w:t xml:space="preserve"> or 2</w:t>
      </w:r>
      <w:r w:rsidR="008F38BB">
        <w:rPr>
          <w:rFonts w:ascii="Times New Roman" w:hAnsi="Times New Roman" w:cs="Times New Roman"/>
          <w:color w:val="000000" w:themeColor="text1"/>
        </w:rPr>
        <w:t>♦</w:t>
      </w:r>
      <w:r w:rsidR="00EA6DE6">
        <w:rPr>
          <w:color w:val="000000" w:themeColor="text1"/>
        </w:rPr>
        <w:t xml:space="preserve"> contract with a poor hand.</w:t>
      </w:r>
    </w:p>
    <w:p w14:paraId="10BE128A" w14:textId="77777777" w:rsidR="00CF6320" w:rsidRDefault="00CF6320" w:rsidP="008F38BB">
      <w:pPr>
        <w:spacing w:after="0"/>
        <w:rPr>
          <w:color w:val="000000" w:themeColor="text1"/>
        </w:rPr>
      </w:pPr>
    </w:p>
    <w:p w14:paraId="66D9ED1B" w14:textId="32BB1BF3" w:rsidR="00CF6320" w:rsidRDefault="00CF6320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It should also be noted </w:t>
      </w:r>
      <w:r w:rsidR="004A5F4C">
        <w:rPr>
          <w:color w:val="000000" w:themeColor="text1"/>
        </w:rPr>
        <w:t xml:space="preserve">that </w:t>
      </w:r>
      <w:r w:rsidR="008F38BB">
        <w:rPr>
          <w:color w:val="000000" w:themeColor="text1"/>
        </w:rPr>
        <w:t>d</w:t>
      </w:r>
      <w:r w:rsidR="004A5F4C">
        <w:rPr>
          <w:color w:val="000000" w:themeColor="text1"/>
        </w:rPr>
        <w:t>ouble can be used for other types of powerful hands, like “</w:t>
      </w:r>
      <w:r w:rsidR="008F38BB">
        <w:rPr>
          <w:color w:val="000000" w:themeColor="text1"/>
        </w:rPr>
        <w:t>double and bid” hand</w:t>
      </w:r>
      <w:r w:rsidR="004A5F4C">
        <w:rPr>
          <w:color w:val="000000" w:themeColor="text1"/>
        </w:rPr>
        <w:t xml:space="preserve">s with lots of HCP and a long strong suit. </w:t>
      </w:r>
    </w:p>
    <w:p w14:paraId="22B97513" w14:textId="77777777" w:rsidR="006E2BDB" w:rsidRDefault="006E2BDB" w:rsidP="008F38BB">
      <w:pPr>
        <w:spacing w:after="0"/>
        <w:rPr>
          <w:color w:val="000000" w:themeColor="text1"/>
        </w:rPr>
      </w:pPr>
    </w:p>
    <w:p w14:paraId="3F0BFB17" w14:textId="2D2ED742" w:rsidR="006E2BDB" w:rsidRDefault="006E2BDB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other </w:t>
      </w:r>
      <w:r w:rsidR="00076573">
        <w:rPr>
          <w:color w:val="000000" w:themeColor="text1"/>
        </w:rPr>
        <w:t xml:space="preserve">primary </w:t>
      </w:r>
      <w:r>
        <w:rPr>
          <w:color w:val="000000" w:themeColor="text1"/>
        </w:rPr>
        <w:t xml:space="preserve">bids in the system are </w:t>
      </w:r>
    </w:p>
    <w:p w14:paraId="66F71B0B" w14:textId="25E35E9F" w:rsidR="0073080C" w:rsidRDefault="0073080C" w:rsidP="008F38BB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 w:rsidRPr="006E2BDB">
        <w:rPr>
          <w:color w:val="000000" w:themeColor="text1"/>
        </w:rPr>
        <w:t>2</w:t>
      </w:r>
      <w:r w:rsidR="008F38BB">
        <w:rPr>
          <w:rFonts w:ascii="Times New Roman" w:hAnsi="Times New Roman" w:cs="Times New Roman"/>
          <w:color w:val="000000" w:themeColor="text1"/>
        </w:rPr>
        <w:t>♥</w:t>
      </w:r>
      <w:r w:rsidRPr="006E2BDB">
        <w:rPr>
          <w:color w:val="000000" w:themeColor="text1"/>
        </w:rPr>
        <w:t xml:space="preserve"> and 2</w:t>
      </w:r>
      <w:r w:rsidR="008F38BB">
        <w:rPr>
          <w:rFonts w:ascii="Times New Roman" w:hAnsi="Times New Roman" w:cs="Times New Roman"/>
          <w:color w:val="000000" w:themeColor="text1"/>
        </w:rPr>
        <w:t>♠</w:t>
      </w:r>
      <w:r w:rsidRPr="006E2BDB">
        <w:rPr>
          <w:color w:val="000000" w:themeColor="text1"/>
        </w:rPr>
        <w:t>, both natural</w:t>
      </w:r>
      <w:r w:rsidR="008F38BB">
        <w:rPr>
          <w:color w:val="000000" w:themeColor="text1"/>
        </w:rPr>
        <w:t>,</w:t>
      </w:r>
      <w:r w:rsidRPr="006E2BDB">
        <w:rPr>
          <w:color w:val="000000" w:themeColor="text1"/>
        </w:rPr>
        <w:t xml:space="preserve"> usually showing a 6+card suit.  </w:t>
      </w:r>
    </w:p>
    <w:p w14:paraId="599E53D1" w14:textId="56DD8BC6" w:rsidR="00931164" w:rsidRDefault="0073080C" w:rsidP="008F38BB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8F38BB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 is used to show a hand with both Major suits.</w:t>
      </w:r>
    </w:p>
    <w:p w14:paraId="477511D7" w14:textId="69C0146C" w:rsidR="00931164" w:rsidRPr="00931164" w:rsidRDefault="00931164" w:rsidP="008F38BB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This leaves 2</w:t>
      </w:r>
      <w:r w:rsidR="008F38B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* as a special bid to use a relay to 2</w:t>
      </w:r>
      <w:r w:rsidR="008F38BB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.  This bid is used to show a hand with a long </w:t>
      </w:r>
      <w:r w:rsidR="008F38BB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suit, a two-suited hand with a Major + minor, or occasionally a good hand with long </w:t>
      </w:r>
      <w:r w:rsidR="008F38BB">
        <w:rPr>
          <w:rFonts w:ascii="Times New Roman" w:hAnsi="Times New Roman" w:cs="Times New Roman"/>
          <w:color w:val="000000" w:themeColor="text1"/>
        </w:rPr>
        <w:t>♣</w:t>
      </w:r>
      <w:r w:rsidR="008F38BB">
        <w:rPr>
          <w:color w:val="000000" w:themeColor="text1"/>
        </w:rPr>
        <w:t>.</w:t>
      </w:r>
    </w:p>
    <w:p w14:paraId="111400F3" w14:textId="77777777" w:rsidR="00931164" w:rsidRDefault="00931164" w:rsidP="008F38BB">
      <w:pPr>
        <w:spacing w:after="0"/>
        <w:rPr>
          <w:color w:val="000000" w:themeColor="text1"/>
        </w:rPr>
      </w:pPr>
    </w:p>
    <w:p w14:paraId="35BDC3DE" w14:textId="3AA0A967" w:rsidR="00931164" w:rsidRDefault="00931164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Let’s see how this 2</w:t>
      </w:r>
      <w:r w:rsidR="008F38B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bid works.</w:t>
      </w:r>
    </w:p>
    <w:p w14:paraId="27D35C37" w14:textId="73DF1146" w:rsidR="0073080C" w:rsidRDefault="0073080C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2</w:t>
      </w:r>
      <w:r w:rsidR="008F38BB">
        <w:rPr>
          <w:rFonts w:ascii="Times New Roman" w:hAnsi="Times New Roman" w:cs="Times New Roman"/>
          <w:color w:val="000000" w:themeColor="text1"/>
        </w:rPr>
        <w:t>♣</w:t>
      </w:r>
      <w:r w:rsidR="00931164">
        <w:rPr>
          <w:color w:val="000000" w:themeColor="text1"/>
        </w:rPr>
        <w:t>*</w:t>
      </w:r>
      <w:r>
        <w:rPr>
          <w:color w:val="000000" w:themeColor="text1"/>
        </w:rPr>
        <w:tab/>
        <w:t>P</w:t>
      </w:r>
      <w:r>
        <w:rPr>
          <w:color w:val="000000" w:themeColor="text1"/>
        </w:rPr>
        <w:tab/>
        <w:t>2</w:t>
      </w:r>
      <w:r w:rsidR="008F38BB">
        <w:rPr>
          <w:rFonts w:ascii="Times New Roman" w:hAnsi="Times New Roman" w:cs="Times New Roman"/>
          <w:color w:val="000000" w:themeColor="text1"/>
        </w:rPr>
        <w:t>♦</w:t>
      </w:r>
      <w:r w:rsidR="00931164">
        <w:rPr>
          <w:color w:val="000000" w:themeColor="text1"/>
        </w:rPr>
        <w:t>*</w:t>
      </w:r>
    </w:p>
    <w:p w14:paraId="7E34FE7B" w14:textId="70EBFF2C" w:rsidR="0073080C" w:rsidRDefault="0073080C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P</w:t>
      </w:r>
      <w:r>
        <w:rPr>
          <w:color w:val="000000" w:themeColor="text1"/>
        </w:rPr>
        <w:tab/>
        <w:t>__</w:t>
      </w:r>
      <w:r w:rsidR="00931164">
        <w:rPr>
          <w:color w:val="000000" w:themeColor="text1"/>
        </w:rPr>
        <w:t>?</w:t>
      </w:r>
    </w:p>
    <w:p w14:paraId="63D4AC89" w14:textId="2C400370" w:rsidR="00931164" w:rsidRDefault="00931164" w:rsidP="008F38BB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Pass </w:t>
      </w:r>
      <w:r>
        <w:rPr>
          <w:color w:val="000000" w:themeColor="text1"/>
        </w:rPr>
        <w:tab/>
        <w:t xml:space="preserve">Showing a long </w:t>
      </w:r>
      <w:r w:rsidR="008F38BB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suit.</w:t>
      </w:r>
    </w:p>
    <w:p w14:paraId="598C67CD" w14:textId="6F5EC764" w:rsidR="00931164" w:rsidRDefault="00931164" w:rsidP="008F38BB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8F38B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</w:r>
      <w:r w:rsidR="008F38BB">
        <w:rPr>
          <w:rFonts w:ascii="Times New Roman" w:hAnsi="Times New Roman" w:cs="Times New Roman"/>
          <w:color w:val="000000" w:themeColor="text1"/>
        </w:rPr>
        <w:t>♥</w:t>
      </w:r>
      <w:r w:rsidR="00415D02">
        <w:rPr>
          <w:color w:val="000000" w:themeColor="text1"/>
        </w:rPr>
        <w:t xml:space="preserve"> and a minor (at least 5+card </w:t>
      </w:r>
      <w:r w:rsidR="008F38BB">
        <w:rPr>
          <w:rFonts w:ascii="Times New Roman" w:hAnsi="Times New Roman" w:cs="Times New Roman"/>
          <w:color w:val="000000" w:themeColor="text1"/>
        </w:rPr>
        <w:t>♥</w:t>
      </w:r>
      <w:r w:rsidR="00415D02">
        <w:rPr>
          <w:color w:val="000000" w:themeColor="text1"/>
        </w:rPr>
        <w:t xml:space="preserve"> and 4+card minor)</w:t>
      </w:r>
      <w:r w:rsidR="00076573">
        <w:rPr>
          <w:color w:val="000000" w:themeColor="text1"/>
        </w:rPr>
        <w:t>.</w:t>
      </w:r>
    </w:p>
    <w:p w14:paraId="751AE713" w14:textId="1AA8DEEF" w:rsidR="00931164" w:rsidRDefault="00415D02" w:rsidP="008F38BB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8F38B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</w:r>
      <w:r w:rsidR="008F38B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and a minor (at least 5+card </w:t>
      </w:r>
      <w:r w:rsidR="008F38B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and 4+card minor)</w:t>
      </w:r>
      <w:r w:rsidR="00076573">
        <w:rPr>
          <w:color w:val="000000" w:themeColor="text1"/>
        </w:rPr>
        <w:t>.</w:t>
      </w:r>
    </w:p>
    <w:p w14:paraId="37548718" w14:textId="24934931" w:rsidR="00415D02" w:rsidRPr="00931164" w:rsidRDefault="00415D02" w:rsidP="008F38BB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8F38B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</w:r>
      <w:r w:rsidR="008F38B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, but a stronger hand than jumping to 3</w:t>
      </w:r>
      <w:r w:rsidR="008F38B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directly.</w:t>
      </w:r>
    </w:p>
    <w:p w14:paraId="2A3DBD1A" w14:textId="77777777" w:rsidR="00EA6DE6" w:rsidRDefault="00EA6DE6" w:rsidP="008F38BB">
      <w:pPr>
        <w:spacing w:after="0"/>
        <w:rPr>
          <w:color w:val="000000" w:themeColor="text1"/>
        </w:rPr>
      </w:pPr>
    </w:p>
    <w:p w14:paraId="45F4A342" w14:textId="77777777" w:rsidR="00B957DC" w:rsidRDefault="00B957DC" w:rsidP="008F38BB">
      <w:pPr>
        <w:spacing w:after="0"/>
        <w:rPr>
          <w:color w:val="000000" w:themeColor="text1"/>
        </w:rPr>
      </w:pPr>
    </w:p>
    <w:p w14:paraId="0F226B93" w14:textId="77777777" w:rsidR="00B957DC" w:rsidRDefault="00B957DC" w:rsidP="008F38BB">
      <w:pPr>
        <w:spacing w:after="0"/>
        <w:rPr>
          <w:color w:val="000000" w:themeColor="text1"/>
        </w:rPr>
      </w:pPr>
    </w:p>
    <w:p w14:paraId="7904D42B" w14:textId="77777777" w:rsidR="00076573" w:rsidRDefault="00076573" w:rsidP="008F38BB">
      <w:pPr>
        <w:spacing w:after="0"/>
        <w:rPr>
          <w:color w:val="000000" w:themeColor="text1"/>
        </w:rPr>
      </w:pPr>
    </w:p>
    <w:p w14:paraId="494C639E" w14:textId="77777777" w:rsidR="00076573" w:rsidRDefault="00076573" w:rsidP="008F38BB">
      <w:pPr>
        <w:spacing w:after="0"/>
        <w:rPr>
          <w:color w:val="000000" w:themeColor="text1"/>
        </w:rPr>
      </w:pPr>
    </w:p>
    <w:p w14:paraId="36859D1A" w14:textId="130B2248" w:rsidR="00B957DC" w:rsidRPr="00076573" w:rsidRDefault="00076573" w:rsidP="008F38BB">
      <w:pPr>
        <w:spacing w:after="0"/>
        <w:rPr>
          <w:b/>
          <w:color w:val="000000" w:themeColor="text1"/>
          <w:sz w:val="24"/>
          <w:szCs w:val="24"/>
        </w:rPr>
      </w:pPr>
      <w:r w:rsidRPr="00076573">
        <w:rPr>
          <w:b/>
          <w:color w:val="000000" w:themeColor="text1"/>
          <w:sz w:val="24"/>
          <w:szCs w:val="24"/>
        </w:rPr>
        <w:lastRenderedPageBreak/>
        <w:t xml:space="preserve">Complete Modified Cappelletti System </w:t>
      </w:r>
    </w:p>
    <w:p w14:paraId="1C08EFDB" w14:textId="2D3B8FDC" w:rsidR="00461C76" w:rsidRPr="00461C76" w:rsidRDefault="00461C76" w:rsidP="008F38BB">
      <w:pPr>
        <w:spacing w:after="0"/>
        <w:rPr>
          <w:i/>
          <w:color w:val="000000" w:themeColor="text1"/>
        </w:rPr>
      </w:pPr>
      <w:r w:rsidRPr="00461C76">
        <w:rPr>
          <w:i/>
          <w:color w:val="000000" w:themeColor="text1"/>
        </w:rPr>
        <w:t xml:space="preserve">Level: 4 </w:t>
      </w:r>
    </w:p>
    <w:p w14:paraId="2F9FE21A" w14:textId="79F29451" w:rsidR="001E0028" w:rsidRDefault="00305C5B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1NT</w:t>
      </w:r>
      <w:r>
        <w:rPr>
          <w:color w:val="000000" w:themeColor="text1"/>
        </w:rPr>
        <w:tab/>
        <w:t>__?</w:t>
      </w:r>
    </w:p>
    <w:p w14:paraId="4F047B14" w14:textId="7CFF532C" w:rsidR="00305C5B" w:rsidRDefault="00305C5B" w:rsidP="008F38BB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X</w:t>
      </w:r>
      <w:r>
        <w:rPr>
          <w:color w:val="000000" w:themeColor="text1"/>
        </w:rPr>
        <w:tab/>
        <w:t xml:space="preserve">Penalty oriented, usually a balanced hand </w:t>
      </w:r>
      <w:r w:rsidR="003C663F">
        <w:rPr>
          <w:color w:val="000000" w:themeColor="text1"/>
        </w:rPr>
        <w:t>at top of opponent’s range (14+ points)</w:t>
      </w:r>
    </w:p>
    <w:p w14:paraId="436550B6" w14:textId="1AE7B827" w:rsidR="00305C5B" w:rsidRDefault="00305C5B" w:rsidP="008F38BB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9C221B">
        <w:rPr>
          <w:rFonts w:ascii="Times New Roman" w:hAnsi="Times New Roman" w:cs="Times New Roman"/>
          <w:color w:val="000000" w:themeColor="text1"/>
        </w:rPr>
        <w:t>♣*</w:t>
      </w:r>
      <w:r>
        <w:rPr>
          <w:color w:val="000000" w:themeColor="text1"/>
        </w:rPr>
        <w:tab/>
        <w:t>Relay to 2</w:t>
      </w:r>
      <w:r w:rsidR="009C221B">
        <w:rPr>
          <w:rFonts w:ascii="Times New Roman" w:hAnsi="Times New Roman" w:cs="Times New Roman"/>
          <w:color w:val="000000" w:themeColor="text1"/>
        </w:rPr>
        <w:t>♦</w:t>
      </w:r>
      <w:r w:rsidR="009C221B">
        <w:rPr>
          <w:color w:val="000000" w:themeColor="text1"/>
        </w:rPr>
        <w:t xml:space="preserve"> to show </w:t>
      </w:r>
      <w:r w:rsidR="009C221B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M+m</w:t>
      </w:r>
      <w:proofErr w:type="spellEnd"/>
      <w:r>
        <w:rPr>
          <w:color w:val="000000" w:themeColor="text1"/>
        </w:rPr>
        <w:t xml:space="preserve">, or strong with </w:t>
      </w:r>
      <w:r w:rsidR="009C221B">
        <w:rPr>
          <w:rFonts w:ascii="Times New Roman" w:hAnsi="Times New Roman" w:cs="Times New Roman"/>
          <w:color w:val="000000" w:themeColor="text1"/>
        </w:rPr>
        <w:t>♣</w:t>
      </w:r>
    </w:p>
    <w:p w14:paraId="3AB08A19" w14:textId="458D1E6B" w:rsidR="00305C5B" w:rsidRDefault="00305C5B" w:rsidP="008F38BB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9C221B">
        <w:rPr>
          <w:rFonts w:ascii="Times New Roman" w:hAnsi="Times New Roman" w:cs="Times New Roman"/>
          <w:color w:val="000000" w:themeColor="text1"/>
        </w:rPr>
        <w:t>♦</w:t>
      </w:r>
      <w:r w:rsidR="009C221B">
        <w:rPr>
          <w:color w:val="000000" w:themeColor="text1"/>
        </w:rPr>
        <w:t>*</w:t>
      </w:r>
      <w:r>
        <w:rPr>
          <w:color w:val="000000" w:themeColor="text1"/>
        </w:rPr>
        <w:tab/>
        <w:t>Both Majors (usually at least 5/4 shape)</w:t>
      </w:r>
    </w:p>
    <w:p w14:paraId="43746D61" w14:textId="3B8A2FA1" w:rsidR="00305C5B" w:rsidRDefault="00305C5B" w:rsidP="008F38BB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9C221B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Natural</w:t>
      </w:r>
    </w:p>
    <w:p w14:paraId="3FC8BD45" w14:textId="78BCB628" w:rsidR="00305C5B" w:rsidRDefault="00305C5B" w:rsidP="008F38BB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9C221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Natural</w:t>
      </w:r>
    </w:p>
    <w:p w14:paraId="2DFB754D" w14:textId="7D4BB735" w:rsidR="00305C5B" w:rsidRDefault="00305C5B" w:rsidP="008F38BB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>
        <w:rPr>
          <w:color w:val="000000" w:themeColor="text1"/>
        </w:rPr>
        <w:tab/>
        <w:t>Weak with both minors (usually at least 5/5 shape)</w:t>
      </w:r>
    </w:p>
    <w:p w14:paraId="557F94EC" w14:textId="77777777" w:rsidR="00305C5B" w:rsidRDefault="00305C5B" w:rsidP="008F38BB">
      <w:pPr>
        <w:pStyle w:val="ListParagraph"/>
        <w:numPr>
          <w:ilvl w:val="0"/>
          <w:numId w:val="18"/>
        </w:numPr>
        <w:spacing w:after="0"/>
        <w:rPr>
          <w:color w:val="000000" w:themeColor="text1"/>
        </w:rPr>
      </w:pPr>
      <w:r>
        <w:rPr>
          <w:color w:val="000000" w:themeColor="text1"/>
        </w:rPr>
        <w:t>3L</w:t>
      </w:r>
      <w:r>
        <w:rPr>
          <w:color w:val="000000" w:themeColor="text1"/>
        </w:rPr>
        <w:tab/>
        <w:t xml:space="preserve">Natural and preemptive </w:t>
      </w:r>
    </w:p>
    <w:p w14:paraId="04FFB8DE" w14:textId="77777777" w:rsidR="00305C5B" w:rsidRDefault="00305C5B" w:rsidP="008F38BB">
      <w:pPr>
        <w:spacing w:after="0"/>
        <w:rPr>
          <w:color w:val="000000" w:themeColor="text1"/>
        </w:rPr>
      </w:pPr>
    </w:p>
    <w:p w14:paraId="1A22ACEA" w14:textId="6DBFFFF5" w:rsidR="00305C5B" w:rsidRPr="00305C5B" w:rsidRDefault="00305C5B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All of the bids from 2</w:t>
      </w:r>
      <w:r w:rsidR="009C221B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to 2</w:t>
      </w:r>
      <w:r w:rsidR="009C221B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show at least opening bid values in shape and strength and are more constructive than bids that we make over a strong 1NT-opening bid.</w:t>
      </w:r>
    </w:p>
    <w:p w14:paraId="23B1C5E2" w14:textId="77777777" w:rsidR="001E0028" w:rsidRDefault="001E0028" w:rsidP="008F38BB">
      <w:pPr>
        <w:spacing w:after="0"/>
        <w:rPr>
          <w:color w:val="000000" w:themeColor="text1"/>
        </w:rPr>
      </w:pPr>
    </w:p>
    <w:p w14:paraId="32BF58A8" w14:textId="0F6B8975" w:rsidR="003273A9" w:rsidRPr="00784D3B" w:rsidRDefault="004339F8" w:rsidP="008F38BB">
      <w:pPr>
        <w:spacing w:after="0"/>
        <w:rPr>
          <w:i/>
          <w:color w:val="000000" w:themeColor="text1"/>
        </w:rPr>
      </w:pPr>
      <w:r w:rsidRPr="00784D3B">
        <w:rPr>
          <w:i/>
          <w:color w:val="000000" w:themeColor="text1"/>
        </w:rPr>
        <w:t xml:space="preserve">Note:  The </w:t>
      </w:r>
      <w:r w:rsidR="009C221B">
        <w:rPr>
          <w:i/>
          <w:color w:val="000000" w:themeColor="text1"/>
        </w:rPr>
        <w:t>d</w:t>
      </w:r>
      <w:r w:rsidRPr="00784D3B">
        <w:rPr>
          <w:i/>
          <w:color w:val="000000" w:themeColor="text1"/>
        </w:rPr>
        <w:t>ifference</w:t>
      </w:r>
      <w:r w:rsidR="009C221B">
        <w:rPr>
          <w:i/>
          <w:color w:val="000000" w:themeColor="text1"/>
        </w:rPr>
        <w:t xml:space="preserve"> between</w:t>
      </w:r>
      <w:r w:rsidR="003273A9" w:rsidRPr="00784D3B">
        <w:rPr>
          <w:i/>
          <w:color w:val="000000" w:themeColor="text1"/>
        </w:rPr>
        <w:t xml:space="preserve"> Cappelletti and Modified Cappelletti </w:t>
      </w:r>
      <w:r w:rsidR="00784D3B" w:rsidRPr="00784D3B">
        <w:rPr>
          <w:i/>
          <w:color w:val="000000" w:themeColor="text1"/>
        </w:rPr>
        <w:t>is that in Modified Cappelletti the 2M bids are natural, where in the original version of Cappelletti</w:t>
      </w:r>
      <w:r w:rsidR="009C221B">
        <w:rPr>
          <w:i/>
          <w:color w:val="000000" w:themeColor="text1"/>
        </w:rPr>
        <w:t>,</w:t>
      </w:r>
      <w:r w:rsidR="00784D3B" w:rsidRPr="00784D3B">
        <w:rPr>
          <w:i/>
          <w:color w:val="000000" w:themeColor="text1"/>
        </w:rPr>
        <w:t xml:space="preserve"> they showed a </w:t>
      </w:r>
      <w:proofErr w:type="spellStart"/>
      <w:r w:rsidR="00784D3B" w:rsidRPr="00784D3B">
        <w:rPr>
          <w:i/>
          <w:color w:val="000000" w:themeColor="text1"/>
        </w:rPr>
        <w:t>M+m</w:t>
      </w:r>
      <w:proofErr w:type="spellEnd"/>
      <w:r w:rsidR="00784D3B" w:rsidRPr="00784D3B">
        <w:rPr>
          <w:i/>
          <w:color w:val="000000" w:themeColor="text1"/>
        </w:rPr>
        <w:t xml:space="preserve"> 2-suiter.  The general consensus amongst expert players is that it is important to be able to show hands with 1-Major immediately.  </w:t>
      </w:r>
      <w:proofErr w:type="spellStart"/>
      <w:r w:rsidR="00784D3B" w:rsidRPr="00784D3B">
        <w:rPr>
          <w:i/>
          <w:color w:val="000000" w:themeColor="text1"/>
        </w:rPr>
        <w:t>Meckwell</w:t>
      </w:r>
      <w:proofErr w:type="spellEnd"/>
      <w:r w:rsidR="00784D3B" w:rsidRPr="00784D3B">
        <w:rPr>
          <w:i/>
          <w:color w:val="000000" w:themeColor="text1"/>
        </w:rPr>
        <w:t xml:space="preserve"> is a similar change from DONT, showing the 1-Major hands immediately.</w:t>
      </w:r>
    </w:p>
    <w:p w14:paraId="76012712" w14:textId="77777777" w:rsidR="001E0028" w:rsidRDefault="001E0028" w:rsidP="008F38BB">
      <w:pPr>
        <w:spacing w:after="0"/>
        <w:rPr>
          <w:color w:val="000000" w:themeColor="text1"/>
        </w:rPr>
      </w:pPr>
    </w:p>
    <w:p w14:paraId="37938E1A" w14:textId="77777777" w:rsidR="003273A9" w:rsidRDefault="003273A9" w:rsidP="008F38BB">
      <w:pPr>
        <w:spacing w:after="0"/>
        <w:rPr>
          <w:color w:val="000000" w:themeColor="text1"/>
        </w:rPr>
      </w:pPr>
    </w:p>
    <w:p w14:paraId="610AB3C0" w14:textId="4E9A1BCC" w:rsidR="00461C76" w:rsidRPr="00461C76" w:rsidRDefault="00461C76" w:rsidP="008F38BB">
      <w:pPr>
        <w:spacing w:after="0"/>
        <w:rPr>
          <w:b/>
          <w:color w:val="000000" w:themeColor="text1"/>
          <w:sz w:val="24"/>
          <w:szCs w:val="24"/>
        </w:rPr>
      </w:pPr>
      <w:r w:rsidRPr="00461C76">
        <w:rPr>
          <w:b/>
          <w:color w:val="000000" w:themeColor="text1"/>
          <w:sz w:val="24"/>
          <w:szCs w:val="24"/>
        </w:rPr>
        <w:t>Modified Woolsey vs. Weak Notrump</w:t>
      </w:r>
    </w:p>
    <w:p w14:paraId="71B8FD5E" w14:textId="60DD0545" w:rsidR="003273A9" w:rsidRPr="003273A9" w:rsidRDefault="003273A9" w:rsidP="008F38BB">
      <w:pPr>
        <w:spacing w:after="0"/>
        <w:rPr>
          <w:i/>
          <w:color w:val="000000" w:themeColor="text1"/>
        </w:rPr>
      </w:pPr>
      <w:r w:rsidRPr="003273A9">
        <w:rPr>
          <w:i/>
          <w:color w:val="000000" w:themeColor="text1"/>
        </w:rPr>
        <w:t>Level: 6</w:t>
      </w:r>
    </w:p>
    <w:p w14:paraId="729EBBDE" w14:textId="710DFF23" w:rsidR="00461C76" w:rsidRDefault="003C663F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>Some partnerships t</w:t>
      </w:r>
      <w:r w:rsidR="009C221B">
        <w:rPr>
          <w:color w:val="000000" w:themeColor="text1"/>
        </w:rPr>
        <w:t>hat play Woolsey vs. Strong 1NT opening bids like to use</w:t>
      </w:r>
      <w:r>
        <w:rPr>
          <w:color w:val="000000" w:themeColor="text1"/>
        </w:rPr>
        <w:t xml:space="preserve"> most of the same system vs. </w:t>
      </w:r>
      <w:r w:rsidR="009C221B">
        <w:rPr>
          <w:color w:val="000000" w:themeColor="text1"/>
        </w:rPr>
        <w:t>W</w:t>
      </w:r>
      <w:r>
        <w:rPr>
          <w:color w:val="000000" w:themeColor="text1"/>
        </w:rPr>
        <w:t>eak 1NT openings with a modification to strength (bidding more constructively and less destr</w:t>
      </w:r>
      <w:r w:rsidR="009C221B">
        <w:rPr>
          <w:color w:val="000000" w:themeColor="text1"/>
        </w:rPr>
        <w:t>uctively).  Also,</w:t>
      </w:r>
      <w:bookmarkStart w:id="0" w:name="_GoBack"/>
      <w:bookmarkEnd w:id="0"/>
      <w:r w:rsidR="009C221B">
        <w:rPr>
          <w:color w:val="000000" w:themeColor="text1"/>
        </w:rPr>
        <w:t xml:space="preserve"> they change d</w:t>
      </w:r>
      <w:r>
        <w:rPr>
          <w:color w:val="000000" w:themeColor="text1"/>
        </w:rPr>
        <w:t xml:space="preserve">ouble to be more </w:t>
      </w:r>
      <w:r w:rsidR="009C221B">
        <w:rPr>
          <w:color w:val="000000" w:themeColor="text1"/>
        </w:rPr>
        <w:t>penalty-oriented,</w:t>
      </w:r>
      <w:r>
        <w:rPr>
          <w:color w:val="000000" w:themeColor="text1"/>
        </w:rPr>
        <w:t xml:space="preserve"> showing a balanced hand at the top of the opponent’s range (usually 14+ points) instead of a 4+card Major and a longer minor.  This allows the partnership to change little about their system when facing a “weak notrump” opponent.</w:t>
      </w:r>
    </w:p>
    <w:p w14:paraId="5C2CC8AA" w14:textId="77777777" w:rsidR="001E0028" w:rsidRDefault="001E0028" w:rsidP="008F38BB">
      <w:pPr>
        <w:spacing w:after="0"/>
        <w:rPr>
          <w:color w:val="000000" w:themeColor="text1"/>
        </w:rPr>
      </w:pPr>
    </w:p>
    <w:p w14:paraId="1271FF24" w14:textId="77777777" w:rsidR="00680CAF" w:rsidRDefault="00680CAF" w:rsidP="008F38BB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77777777" w:rsidR="0058163A" w:rsidRPr="00A11193" w:rsidRDefault="0058163A" w:rsidP="008F38BB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77051E6E" w14:textId="7285483E" w:rsidR="00B9065D" w:rsidRDefault="00416AA5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the opponents play a </w:t>
      </w:r>
      <w:r w:rsidR="009C221B">
        <w:rPr>
          <w:color w:val="000000" w:themeColor="text1"/>
        </w:rPr>
        <w:t xml:space="preserve">Weak 1NT range, </w:t>
      </w:r>
      <w:r>
        <w:rPr>
          <w:color w:val="000000" w:themeColor="text1"/>
        </w:rPr>
        <w:t xml:space="preserve">we need a different </w:t>
      </w:r>
      <w:r w:rsidR="00BD5D1E">
        <w:rPr>
          <w:color w:val="000000" w:themeColor="text1"/>
        </w:rPr>
        <w:t>approach to bidding (more constructive and less destructive) and a different set of bidding tools to show the hands with which we want to compete in the bidding.</w:t>
      </w:r>
      <w:r w:rsidR="000D4F24">
        <w:rPr>
          <w:color w:val="000000" w:themeColor="text1"/>
        </w:rPr>
        <w:t xml:space="preserve">  We still want to enter the auction with 1-suited and 2-suited hands that have good value</w:t>
      </w:r>
      <w:r w:rsidR="001A5B08">
        <w:rPr>
          <w:color w:val="000000" w:themeColor="text1"/>
        </w:rPr>
        <w:t>s, but we also want to compete (</w:t>
      </w:r>
      <w:r w:rsidR="000D4F24">
        <w:rPr>
          <w:color w:val="000000" w:themeColor="text1"/>
        </w:rPr>
        <w:t>or</w:t>
      </w:r>
      <w:r w:rsidR="009C221B">
        <w:rPr>
          <w:color w:val="000000" w:themeColor="text1"/>
        </w:rPr>
        <w:t xml:space="preserve"> possibly penalize the opponent</w:t>
      </w:r>
      <w:r w:rsidR="000D4F24">
        <w:rPr>
          <w:color w:val="000000" w:themeColor="text1"/>
        </w:rPr>
        <w:t>s</w:t>
      </w:r>
      <w:r w:rsidR="001A5B08">
        <w:rPr>
          <w:color w:val="000000" w:themeColor="text1"/>
        </w:rPr>
        <w:t xml:space="preserve">) </w:t>
      </w:r>
      <w:r w:rsidR="000D4F24">
        <w:rPr>
          <w:color w:val="000000" w:themeColor="text1"/>
        </w:rPr>
        <w:t>with good balanced hand</w:t>
      </w:r>
      <w:r w:rsidR="009C221B">
        <w:rPr>
          <w:color w:val="000000" w:themeColor="text1"/>
        </w:rPr>
        <w:t>s</w:t>
      </w:r>
      <w:r w:rsidR="000D4F24">
        <w:rPr>
          <w:color w:val="000000" w:themeColor="text1"/>
        </w:rPr>
        <w:t xml:space="preserve"> (usually 14+ points</w:t>
      </w:r>
      <w:r w:rsidR="009C221B">
        <w:rPr>
          <w:color w:val="000000" w:themeColor="text1"/>
        </w:rPr>
        <w:t xml:space="preserve">).  If you face a weak notrump </w:t>
      </w:r>
      <w:r w:rsidR="001A5B08">
        <w:rPr>
          <w:color w:val="000000" w:themeColor="text1"/>
        </w:rPr>
        <w:t>opening</w:t>
      </w:r>
      <w:r w:rsidR="009C221B">
        <w:rPr>
          <w:color w:val="000000" w:themeColor="text1"/>
        </w:rPr>
        <w:t>,</w:t>
      </w:r>
      <w:r w:rsidR="001A5B08">
        <w:rPr>
          <w:color w:val="000000" w:themeColor="text1"/>
        </w:rPr>
        <w:t xml:space="preserve"> be prepared to adjust your bidding system and philosophy to help you better compete in the auction and overcome playing against a system with which you are not that familiar!</w:t>
      </w:r>
    </w:p>
    <w:p w14:paraId="1F812C67" w14:textId="35135C05" w:rsidR="00317326" w:rsidRPr="003061BD" w:rsidRDefault="00CA146C" w:rsidP="008F38BB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46E5" w14:textId="77777777" w:rsidR="00F13E63" w:rsidRDefault="00F13E63" w:rsidP="005C42AC">
      <w:pPr>
        <w:spacing w:after="0" w:line="240" w:lineRule="auto"/>
      </w:pPr>
      <w:r>
        <w:separator/>
      </w:r>
    </w:p>
  </w:endnote>
  <w:endnote w:type="continuationSeparator" w:id="0">
    <w:p w14:paraId="2D04EB9D" w14:textId="77777777" w:rsidR="00F13E63" w:rsidRDefault="00F13E63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19D51C12" w:rsidR="00416AA5" w:rsidRPr="00306D34" w:rsidRDefault="00416AA5" w:rsidP="00306D34">
    <w:pPr>
      <w:pStyle w:val="Footer"/>
    </w:pPr>
    <w:proofErr w:type="spellStart"/>
    <w:r>
      <w:t>TWiB</w:t>
    </w:r>
    <w:proofErr w:type="spellEnd"/>
    <w:r>
      <w:t xml:space="preserve"> (189) Bidding vs. Weak 1NT Opening </w:t>
    </w:r>
    <w:r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21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416AA5" w:rsidRDefault="00416AA5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9170" w14:textId="77777777" w:rsidR="00F13E63" w:rsidRDefault="00F13E63" w:rsidP="005C42AC">
      <w:pPr>
        <w:spacing w:after="0" w:line="240" w:lineRule="auto"/>
      </w:pPr>
      <w:r>
        <w:separator/>
      </w:r>
    </w:p>
  </w:footnote>
  <w:footnote w:type="continuationSeparator" w:id="0">
    <w:p w14:paraId="6DD7780B" w14:textId="77777777" w:rsidR="00F13E63" w:rsidRDefault="00F13E63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416AA5" w:rsidRPr="00CF5891" w:rsidRDefault="00416AA5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6AA5" w:rsidRPr="00507BAD" w:rsidRDefault="00416AA5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416AA5" w:rsidRPr="00B4722C" w:rsidRDefault="00416AA5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6AA5" w:rsidRDefault="00416AA5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6AA5" w:rsidRPr="005669A0" w:rsidRDefault="00416AA5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6AA5" w:rsidRDefault="00416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DA4"/>
    <w:multiLevelType w:val="hybridMultilevel"/>
    <w:tmpl w:val="47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003F"/>
    <w:multiLevelType w:val="hybridMultilevel"/>
    <w:tmpl w:val="1A20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2689"/>
    <w:multiLevelType w:val="hybridMultilevel"/>
    <w:tmpl w:val="FB2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6DB6"/>
    <w:multiLevelType w:val="hybridMultilevel"/>
    <w:tmpl w:val="7C32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44C5F"/>
    <w:multiLevelType w:val="hybridMultilevel"/>
    <w:tmpl w:val="47D29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6D86"/>
    <w:multiLevelType w:val="hybridMultilevel"/>
    <w:tmpl w:val="ECC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9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7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7895"/>
    <w:rsid w:val="00007ABF"/>
    <w:rsid w:val="00054851"/>
    <w:rsid w:val="00063506"/>
    <w:rsid w:val="0006535A"/>
    <w:rsid w:val="00076573"/>
    <w:rsid w:val="0007775A"/>
    <w:rsid w:val="00097817"/>
    <w:rsid w:val="000A1BD5"/>
    <w:rsid w:val="000A3DB0"/>
    <w:rsid w:val="000C16E4"/>
    <w:rsid w:val="000C4471"/>
    <w:rsid w:val="000D17F4"/>
    <w:rsid w:val="000D4F24"/>
    <w:rsid w:val="000E3CC0"/>
    <w:rsid w:val="000F0923"/>
    <w:rsid w:val="000F6C10"/>
    <w:rsid w:val="000F7DB9"/>
    <w:rsid w:val="001220C5"/>
    <w:rsid w:val="00122446"/>
    <w:rsid w:val="00135F48"/>
    <w:rsid w:val="00146534"/>
    <w:rsid w:val="00150B34"/>
    <w:rsid w:val="0016305E"/>
    <w:rsid w:val="00163634"/>
    <w:rsid w:val="001706D8"/>
    <w:rsid w:val="00195D84"/>
    <w:rsid w:val="001A5B08"/>
    <w:rsid w:val="001C5DA3"/>
    <w:rsid w:val="001D4DF4"/>
    <w:rsid w:val="001E0028"/>
    <w:rsid w:val="001E12C5"/>
    <w:rsid w:val="001F0DB7"/>
    <w:rsid w:val="001F7AB6"/>
    <w:rsid w:val="0020491D"/>
    <w:rsid w:val="00232ED3"/>
    <w:rsid w:val="00245322"/>
    <w:rsid w:val="00245E51"/>
    <w:rsid w:val="00255B92"/>
    <w:rsid w:val="002727AF"/>
    <w:rsid w:val="00291FD7"/>
    <w:rsid w:val="0029633C"/>
    <w:rsid w:val="002A483F"/>
    <w:rsid w:val="002A7E69"/>
    <w:rsid w:val="002B5DFA"/>
    <w:rsid w:val="002E115F"/>
    <w:rsid w:val="002F5269"/>
    <w:rsid w:val="002F7392"/>
    <w:rsid w:val="00305C5B"/>
    <w:rsid w:val="003061BD"/>
    <w:rsid w:val="00306D34"/>
    <w:rsid w:val="00317326"/>
    <w:rsid w:val="003273A9"/>
    <w:rsid w:val="00331ABA"/>
    <w:rsid w:val="003322BA"/>
    <w:rsid w:val="00334D6F"/>
    <w:rsid w:val="0035340A"/>
    <w:rsid w:val="003611EA"/>
    <w:rsid w:val="00380876"/>
    <w:rsid w:val="00394A4F"/>
    <w:rsid w:val="003C29CE"/>
    <w:rsid w:val="003C2C48"/>
    <w:rsid w:val="003C663F"/>
    <w:rsid w:val="003C7C54"/>
    <w:rsid w:val="003F13FF"/>
    <w:rsid w:val="00415D02"/>
    <w:rsid w:val="00415D33"/>
    <w:rsid w:val="00416AA5"/>
    <w:rsid w:val="00431715"/>
    <w:rsid w:val="004339F8"/>
    <w:rsid w:val="00451454"/>
    <w:rsid w:val="00461C76"/>
    <w:rsid w:val="00470EBF"/>
    <w:rsid w:val="00492F76"/>
    <w:rsid w:val="00496CAB"/>
    <w:rsid w:val="004A5F4C"/>
    <w:rsid w:val="004C552E"/>
    <w:rsid w:val="004C6496"/>
    <w:rsid w:val="004E73F8"/>
    <w:rsid w:val="00506E01"/>
    <w:rsid w:val="00507BAD"/>
    <w:rsid w:val="005264EA"/>
    <w:rsid w:val="0054127B"/>
    <w:rsid w:val="00547190"/>
    <w:rsid w:val="005669A0"/>
    <w:rsid w:val="00573CE5"/>
    <w:rsid w:val="0058163A"/>
    <w:rsid w:val="00585B3B"/>
    <w:rsid w:val="00592788"/>
    <w:rsid w:val="00593E68"/>
    <w:rsid w:val="00595D2F"/>
    <w:rsid w:val="005A17D4"/>
    <w:rsid w:val="005B447D"/>
    <w:rsid w:val="005C42AC"/>
    <w:rsid w:val="005C77B6"/>
    <w:rsid w:val="005D4B8C"/>
    <w:rsid w:val="005F6F34"/>
    <w:rsid w:val="00600CD4"/>
    <w:rsid w:val="0061399B"/>
    <w:rsid w:val="006312C7"/>
    <w:rsid w:val="00646EC3"/>
    <w:rsid w:val="00664F91"/>
    <w:rsid w:val="00680CAF"/>
    <w:rsid w:val="00690A4A"/>
    <w:rsid w:val="006C05F3"/>
    <w:rsid w:val="006E2BDB"/>
    <w:rsid w:val="006E3954"/>
    <w:rsid w:val="006F144E"/>
    <w:rsid w:val="00706BFE"/>
    <w:rsid w:val="00715F2C"/>
    <w:rsid w:val="00725470"/>
    <w:rsid w:val="0073080C"/>
    <w:rsid w:val="00762608"/>
    <w:rsid w:val="00774D26"/>
    <w:rsid w:val="00784D3B"/>
    <w:rsid w:val="0079498A"/>
    <w:rsid w:val="00794DF6"/>
    <w:rsid w:val="007C0FBE"/>
    <w:rsid w:val="007C7FDE"/>
    <w:rsid w:val="007E60D4"/>
    <w:rsid w:val="007E6D2D"/>
    <w:rsid w:val="007F5198"/>
    <w:rsid w:val="00802375"/>
    <w:rsid w:val="0081234C"/>
    <w:rsid w:val="00830D49"/>
    <w:rsid w:val="008357CB"/>
    <w:rsid w:val="00836A83"/>
    <w:rsid w:val="0085509F"/>
    <w:rsid w:val="00870F22"/>
    <w:rsid w:val="008935BB"/>
    <w:rsid w:val="00895FF4"/>
    <w:rsid w:val="00897665"/>
    <w:rsid w:val="008B633B"/>
    <w:rsid w:val="008C7DFA"/>
    <w:rsid w:val="008D340B"/>
    <w:rsid w:val="008F0BF7"/>
    <w:rsid w:val="008F38BB"/>
    <w:rsid w:val="008F7E50"/>
    <w:rsid w:val="009257F5"/>
    <w:rsid w:val="00931164"/>
    <w:rsid w:val="009363B5"/>
    <w:rsid w:val="00945D04"/>
    <w:rsid w:val="00952D16"/>
    <w:rsid w:val="009662E6"/>
    <w:rsid w:val="0099522A"/>
    <w:rsid w:val="009A28D3"/>
    <w:rsid w:val="009B1387"/>
    <w:rsid w:val="009B1D3C"/>
    <w:rsid w:val="009C221B"/>
    <w:rsid w:val="009C4DEA"/>
    <w:rsid w:val="009E13D0"/>
    <w:rsid w:val="00A005F0"/>
    <w:rsid w:val="00A027E8"/>
    <w:rsid w:val="00A07415"/>
    <w:rsid w:val="00A10143"/>
    <w:rsid w:val="00A11193"/>
    <w:rsid w:val="00A12B99"/>
    <w:rsid w:val="00A12E82"/>
    <w:rsid w:val="00A24EA7"/>
    <w:rsid w:val="00A43C39"/>
    <w:rsid w:val="00A455D2"/>
    <w:rsid w:val="00A46626"/>
    <w:rsid w:val="00A536D6"/>
    <w:rsid w:val="00A57736"/>
    <w:rsid w:val="00A650B7"/>
    <w:rsid w:val="00A80E4D"/>
    <w:rsid w:val="00A8606C"/>
    <w:rsid w:val="00A94700"/>
    <w:rsid w:val="00AA1B91"/>
    <w:rsid w:val="00AA1CAF"/>
    <w:rsid w:val="00AB4B64"/>
    <w:rsid w:val="00AC0DC2"/>
    <w:rsid w:val="00AC6662"/>
    <w:rsid w:val="00AD3A65"/>
    <w:rsid w:val="00AD5784"/>
    <w:rsid w:val="00AE0164"/>
    <w:rsid w:val="00AE07D6"/>
    <w:rsid w:val="00B30D15"/>
    <w:rsid w:val="00B400D9"/>
    <w:rsid w:val="00B46EDF"/>
    <w:rsid w:val="00B4722C"/>
    <w:rsid w:val="00B667F7"/>
    <w:rsid w:val="00B75DE3"/>
    <w:rsid w:val="00B8014D"/>
    <w:rsid w:val="00B8112D"/>
    <w:rsid w:val="00B9065D"/>
    <w:rsid w:val="00B91281"/>
    <w:rsid w:val="00B9163E"/>
    <w:rsid w:val="00B93C1F"/>
    <w:rsid w:val="00B957DC"/>
    <w:rsid w:val="00BA7D8D"/>
    <w:rsid w:val="00BB3DA7"/>
    <w:rsid w:val="00BB452C"/>
    <w:rsid w:val="00BB52D2"/>
    <w:rsid w:val="00BD56CF"/>
    <w:rsid w:val="00BD5D1E"/>
    <w:rsid w:val="00BE237F"/>
    <w:rsid w:val="00BE3061"/>
    <w:rsid w:val="00BE4C8A"/>
    <w:rsid w:val="00C01DE8"/>
    <w:rsid w:val="00C152B3"/>
    <w:rsid w:val="00C22828"/>
    <w:rsid w:val="00C30E32"/>
    <w:rsid w:val="00C40071"/>
    <w:rsid w:val="00C42176"/>
    <w:rsid w:val="00C438A2"/>
    <w:rsid w:val="00C64C41"/>
    <w:rsid w:val="00C81EED"/>
    <w:rsid w:val="00C90AE0"/>
    <w:rsid w:val="00CA01D9"/>
    <w:rsid w:val="00CA146C"/>
    <w:rsid w:val="00CA5029"/>
    <w:rsid w:val="00CB1754"/>
    <w:rsid w:val="00CB67FE"/>
    <w:rsid w:val="00CE7DCC"/>
    <w:rsid w:val="00CF5891"/>
    <w:rsid w:val="00CF6320"/>
    <w:rsid w:val="00D00762"/>
    <w:rsid w:val="00D01FC0"/>
    <w:rsid w:val="00D15DEE"/>
    <w:rsid w:val="00D25F6C"/>
    <w:rsid w:val="00D3461B"/>
    <w:rsid w:val="00D6278A"/>
    <w:rsid w:val="00D7461B"/>
    <w:rsid w:val="00D80483"/>
    <w:rsid w:val="00D82CEB"/>
    <w:rsid w:val="00D85D0F"/>
    <w:rsid w:val="00DA321E"/>
    <w:rsid w:val="00DA42FC"/>
    <w:rsid w:val="00DB0592"/>
    <w:rsid w:val="00DB2657"/>
    <w:rsid w:val="00DB405A"/>
    <w:rsid w:val="00DE55ED"/>
    <w:rsid w:val="00DF3370"/>
    <w:rsid w:val="00E1095C"/>
    <w:rsid w:val="00E15B48"/>
    <w:rsid w:val="00E16849"/>
    <w:rsid w:val="00E20B8A"/>
    <w:rsid w:val="00E345C6"/>
    <w:rsid w:val="00E410BD"/>
    <w:rsid w:val="00E47C64"/>
    <w:rsid w:val="00E63614"/>
    <w:rsid w:val="00EA16D5"/>
    <w:rsid w:val="00EA6DE6"/>
    <w:rsid w:val="00EB59EF"/>
    <w:rsid w:val="00ED6B88"/>
    <w:rsid w:val="00F0761F"/>
    <w:rsid w:val="00F13E63"/>
    <w:rsid w:val="00F17EF0"/>
    <w:rsid w:val="00F32CC7"/>
    <w:rsid w:val="00F66A84"/>
    <w:rsid w:val="00F779E4"/>
    <w:rsid w:val="00FA39DF"/>
    <w:rsid w:val="00FA71AD"/>
    <w:rsid w:val="00FC4835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BD81A5B7-A94E-4341-BEDF-DB596E65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114</cp:revision>
  <cp:lastPrinted>2017-01-09T00:40:00Z</cp:lastPrinted>
  <dcterms:created xsi:type="dcterms:W3CDTF">2016-06-09T17:48:00Z</dcterms:created>
  <dcterms:modified xsi:type="dcterms:W3CDTF">2017-03-19T14:42:00Z</dcterms:modified>
</cp:coreProperties>
</file>